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著作：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刘圣中. 历史制度主义[M]. 上海: 上海人民出版, 2010.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彭兰. 中国网络媒体的第一个十年[M]. 清华大学出版社, 2005.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费孝通. 乡土中国[M]. 商务印书馆, 2006.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哈贝马斯. 公共领域的结构转型[J]. 学林出版社, 1999.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塞缪尔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·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亨廷顿. 变化中的社会秩序[J].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三联书店,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1996.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安东尼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吉登斯. 社会的构成: 结构化理论大纲[M]. 三联书店, 1998.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邓野. 联合政府与一党训政: 1944~ 1946 年间国共政争[M]. 社会科学文献出版社, 2003.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胡泳. 众声喧哗: 网络时代的个人表达与公共讨论[M]. 广西师范大学出版社, 2008.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李永刚. 我们的防火墙: 网络时代的表达与监管[M]. 广西师范大学出版社, 2009.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论文：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罗仲伟, 任国良, 焦豪, 等. 动态能力, 技术范式转变与创新战略——基于腾讯微信 “整合” 与 “迭代” 微创新的纵向案例分析[J]. 管理世界, 2014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: 152-168.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吕程平. “理” 的逻辑: 认同, 交互与抗争——基于 A 省网民拆迁类留言的分析[J]. 管理世界, 2015 (2): 82-90.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唐皇凤. 常态社会与运动式治理——中国社会治安治理中的 “严打” 政策研究[J]. 开放时代, 2007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: 115-129.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A2423"/>
    <w:rsid w:val="00E90EFF"/>
    <w:rsid w:val="03B94408"/>
    <w:rsid w:val="069A45DF"/>
    <w:rsid w:val="08F90B5C"/>
    <w:rsid w:val="0CC06A35"/>
    <w:rsid w:val="12E4396E"/>
    <w:rsid w:val="167B4259"/>
    <w:rsid w:val="1E6114CF"/>
    <w:rsid w:val="25425D56"/>
    <w:rsid w:val="2D74284D"/>
    <w:rsid w:val="30FF0CDD"/>
    <w:rsid w:val="31481373"/>
    <w:rsid w:val="31D376ED"/>
    <w:rsid w:val="33583351"/>
    <w:rsid w:val="35EA15C4"/>
    <w:rsid w:val="394630A2"/>
    <w:rsid w:val="3A0F65E3"/>
    <w:rsid w:val="3A372597"/>
    <w:rsid w:val="41497151"/>
    <w:rsid w:val="460C638B"/>
    <w:rsid w:val="46250DE9"/>
    <w:rsid w:val="49190B19"/>
    <w:rsid w:val="4D2A42BA"/>
    <w:rsid w:val="4EC2157C"/>
    <w:rsid w:val="509462F2"/>
    <w:rsid w:val="53A45CBB"/>
    <w:rsid w:val="5CCA2423"/>
    <w:rsid w:val="5CF26EB5"/>
    <w:rsid w:val="5FB16628"/>
    <w:rsid w:val="61693499"/>
    <w:rsid w:val="63C46A7D"/>
    <w:rsid w:val="69257435"/>
    <w:rsid w:val="6B53033D"/>
    <w:rsid w:val="6C5C5E58"/>
    <w:rsid w:val="6EF81571"/>
    <w:rsid w:val="713B7914"/>
    <w:rsid w:val="74C47EEA"/>
    <w:rsid w:val="76803CCB"/>
    <w:rsid w:val="7C145EF0"/>
    <w:rsid w:val="7C81214D"/>
    <w:rsid w:val="7CA23D8D"/>
    <w:rsid w:val="7DCD5920"/>
    <w:rsid w:val="7E36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link w:val="8"/>
    <w:qFormat/>
    <w:uiPriority w:val="0"/>
    <w:pPr>
      <w:jc w:val="left"/>
    </w:pPr>
    <w:rPr>
      <w:rFonts w:ascii="Times New Roman" w:hAnsi="Times New Roman" w:eastAsia="宋体" w:cs="Times New Roman"/>
      <w:szCs w:val="18"/>
    </w:rPr>
  </w:style>
  <w:style w:type="paragraph" w:styleId="3">
    <w:name w:val="Balloon Text"/>
    <w:basedOn w:val="1"/>
    <w:qFormat/>
    <w:uiPriority w:val="0"/>
    <w:rPr>
      <w:sz w:val="18"/>
    </w:rPr>
  </w:style>
  <w:style w:type="character" w:styleId="5">
    <w:name w:val="endnote reference"/>
    <w:basedOn w:val="4"/>
    <w:qFormat/>
    <w:uiPriority w:val="0"/>
    <w:rPr>
      <w:vertAlign w:val="superscript"/>
    </w:rPr>
  </w:style>
  <w:style w:type="character" w:styleId="6">
    <w:name w:val="footnote reference"/>
    <w:basedOn w:val="5"/>
    <w:uiPriority w:val="0"/>
    <w:rPr>
      <w:rFonts w:ascii="Times New Roman" w:hAnsi="Times New Roman" w:eastAsia="宋体"/>
      <w:bCs/>
      <w:sz w:val="20"/>
      <w:szCs w:val="32"/>
      <w:vertAlign w:val="superscript"/>
    </w:rPr>
  </w:style>
  <w:style w:type="character" w:customStyle="1" w:styleId="8">
    <w:name w:val="批注文字 字符"/>
    <w:basedOn w:val="4"/>
    <w:link w:val="2"/>
    <w:semiHidden/>
    <w:uiPriority w:val="99"/>
    <w:rPr>
      <w:rFonts w:ascii="Times New Roman" w:hAnsi="Times New Roman" w:eastAsia="宋体" w:cs="Times New Roman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WPS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2020-07-13T13:12:00Z</dcterms:created>
  <dc:creator>曾润喜 Runxi@UTAustin</dc:creator>
  <cp:lastModifiedBy>曾润喜 Runxi@UTAustin</cp:lastModifiedBy>
  <dcterms:modified xsi:type="dcterms:W3CDTF">2020-07-13T13:42:01Z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